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Consortium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Neilsen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NASCIC.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Consortium.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collateral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subtitles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Joanne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Walk-it-Off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Rebecca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auspices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Wolff,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Q&amp;A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takeaways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adolescents,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affectionately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quadriplegia,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psychoanalyzes.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Sigmund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00:07:13],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'50s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alleviate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three-way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inaccurate,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all-or-nothing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polarized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black-or-white.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manifests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unwillingness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overgeneralization.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sneaky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overgeneralize,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motorbike.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pessimistic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idealistic?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mind-reading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fortune-telling.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inaccurate.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manifests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unpleasant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mustarbating,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mustarbation.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mislabeling.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grumpy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miser"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Mislabeling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thought-checking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unfair?"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overgeneralization,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catastrophizing,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thought-out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catastrophizing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overgeneralizing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distorted?"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MindShift.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Thiswayup.org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popularizer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Q&amp;A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Wolff,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Consortium.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#UpgradeMedicaid.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Backbones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NASCIC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ancestral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prefrontal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part-time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outpatient.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Parkinson's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post-stroke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rehabbing,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Rochester,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Minnesota.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glitch.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ancestral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ancestral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procreate.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autopilot.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autopilot.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medulla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00:31:44]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prefrontal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bombarded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prefrontal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ancestral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prefrontal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bombarded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gorgeous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00:35:23]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superpower."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prefrontal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cortex,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snooze."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neurotransmitters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neurotransmitters?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pencil.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undivided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antennas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chimneys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differentiations,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blemishes,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judgemental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non-judgemental.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Buddhists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gecko.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day-to-day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prefrontal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spiders...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neurotransmitters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cortisol.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shampoo.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 Wolff: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glitch.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Jessica Bassett...: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accreditation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quackery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click-bait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CPA.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half-joking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telephone."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neurolinguistics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reorient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Donald.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24/7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takeaways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inwardly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cautiously.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enlightening...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NASCIC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COVID-15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Barry Munro: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Marc Ross: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Episode 5  Isolation and Mental Wellness during ... (Completed  06/13/20)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14,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"https://www.rev.com/transcript-editor/Edit?token=tLsCWAe0jHqP2_ZEhMhBkFnmWn0XE6t9pFmone1yqgn_2BHw5XGiUEVHeNoRat_-2FRVHCAXhUDcsVegqaXnFZCvGn4&amp;loadFrom=DocumentHeaderDeepLink"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